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336"/>
      </w:tblGrid>
      <w:tr w:rsidR="00A86F09" w:rsidTr="00A86F09">
        <w:trPr>
          <w:trHeight w:val="920"/>
          <w:tblHeader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A86F09" w:rsidRPr="00A86F09" w:rsidRDefault="00A86F09" w:rsidP="00A86F09">
            <w:pPr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907A9">
              <w:rPr>
                <w:sz w:val="36"/>
                <w:szCs w:val="36"/>
              </w:rPr>
              <w:t>Processus type d'apprentissage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:rsidR="00A86F09" w:rsidRPr="00C80F1C" w:rsidRDefault="00A86F09" w:rsidP="00A86F09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168E7">
              <w:rPr>
                <w:sz w:val="36"/>
                <w:szCs w:val="36"/>
              </w:rPr>
              <w:t xml:space="preserve">Opportunités d’utiliser les applications de type </w:t>
            </w:r>
            <w:r>
              <w:rPr>
                <w:sz w:val="36"/>
                <w:szCs w:val="36"/>
              </w:rPr>
              <w:br/>
              <w:t>médias</w:t>
            </w:r>
            <w:r w:rsidRPr="004168E7">
              <w:rPr>
                <w:sz w:val="36"/>
                <w:szCs w:val="36"/>
              </w:rPr>
              <w:t xml:space="preserve"> sociaux</w:t>
            </w:r>
          </w:p>
        </w:tc>
      </w:tr>
      <w:tr w:rsidR="00A86F09" w:rsidTr="00001916">
        <w:trPr>
          <w:trHeight w:val="118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F09" w:rsidRPr="00A86F09" w:rsidRDefault="00A86F09" w:rsidP="008810F1">
            <w:pPr>
              <w:jc w:val="both"/>
              <w:rPr>
                <w:sz w:val="40"/>
                <w:szCs w:val="40"/>
              </w:rPr>
            </w:pPr>
            <w:r w:rsidRPr="00A86F09">
              <w:rPr>
                <w:b/>
                <w:sz w:val="40"/>
                <w:szCs w:val="40"/>
              </w:rPr>
              <w:t xml:space="preserve">Activation </w:t>
            </w:r>
            <w:r w:rsidRPr="00A86F09">
              <w:rPr>
                <w:sz w:val="40"/>
                <w:szCs w:val="40"/>
              </w:rPr>
              <w:t>: éveil des acquis cognitifs et affectifs de l'élève en fonction de la compétence ou des connaissances à développer.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A86F09" w:rsidRPr="00A86F09" w:rsidRDefault="00A86F09" w:rsidP="00001916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  <w:p w:rsidR="00A86F09" w:rsidRPr="00A86F09" w:rsidRDefault="00A86F09" w:rsidP="008810F1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A86F09">
              <w:rPr>
                <w:sz w:val="40"/>
                <w:szCs w:val="40"/>
              </w:rPr>
              <w:t xml:space="preserve">Demander aux étudiant(e)s de construire collectivement une liste de ressources de niveau secondaires ou liées à un cours préalable et en lien avec le sujet à traiter.  On peut leur suggérer d’utiliser  des plateformes de travail collaboratif comme </w:t>
            </w:r>
            <w:proofErr w:type="spellStart"/>
            <w:r w:rsidRPr="00A86F09">
              <w:rPr>
                <w:sz w:val="40"/>
                <w:szCs w:val="40"/>
              </w:rPr>
              <w:t>Twitter</w:t>
            </w:r>
            <w:proofErr w:type="spellEnd"/>
            <w:r w:rsidRPr="00A86F09">
              <w:rPr>
                <w:sz w:val="40"/>
                <w:szCs w:val="40"/>
              </w:rPr>
              <w:t xml:space="preserve">, ou </w:t>
            </w:r>
            <w:proofErr w:type="spellStart"/>
            <w:r w:rsidRPr="00A86F09">
              <w:rPr>
                <w:sz w:val="40"/>
                <w:szCs w:val="40"/>
              </w:rPr>
              <w:t>Facebook</w:t>
            </w:r>
            <w:proofErr w:type="spellEnd"/>
            <w:r w:rsidRPr="00A86F09">
              <w:rPr>
                <w:sz w:val="40"/>
                <w:szCs w:val="40"/>
              </w:rPr>
              <w:t>.  Par contre il faut être conscient que les réseaux sociaux se forcent difficilement.  C’est par affinité que le réseau se développe.  Les participants peuvent favoriser d’autres façons d’échanger.</w:t>
            </w:r>
          </w:p>
          <w:p w:rsidR="00A86F09" w:rsidRPr="00A86F09" w:rsidRDefault="00A86F09" w:rsidP="00001916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AB2F37" w:rsidRDefault="00AB2F37"/>
    <w:sectPr w:rsidR="00AB2F37" w:rsidSect="00A86F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F09"/>
    <w:rsid w:val="008810F1"/>
    <w:rsid w:val="00A86F09"/>
    <w:rsid w:val="00A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2011-05-10T19:40:00Z</dcterms:created>
  <dcterms:modified xsi:type="dcterms:W3CDTF">2011-05-10T19:42:00Z</dcterms:modified>
</cp:coreProperties>
</file>