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8336"/>
      </w:tblGrid>
      <w:tr w:rsidR="00A86F09" w:rsidTr="00A86F09">
        <w:trPr>
          <w:trHeight w:val="920"/>
          <w:tblHeader/>
        </w:trPr>
        <w:tc>
          <w:tcPr>
            <w:tcW w:w="6204" w:type="dxa"/>
            <w:tcBorders>
              <w:bottom w:val="single" w:sz="4" w:space="0" w:color="auto"/>
            </w:tcBorders>
            <w:vAlign w:val="center"/>
          </w:tcPr>
          <w:p w:rsidR="00A86F09" w:rsidRPr="00A86F09" w:rsidRDefault="00A86F09" w:rsidP="00A86F09">
            <w:pPr>
              <w:jc w:val="center"/>
              <w:rPr>
                <w:rFonts w:ascii="Calibri" w:eastAsia="Times New Roman" w:hAnsi="Calibri" w:cs="Calibri"/>
                <w:color w:val="000000"/>
                <w:lang w:eastAsia="fr-CA"/>
              </w:rPr>
            </w:pPr>
            <w:r w:rsidRPr="008907A9">
              <w:rPr>
                <w:sz w:val="36"/>
                <w:szCs w:val="36"/>
              </w:rPr>
              <w:t>Processus type d'apprentissage</w:t>
            </w:r>
          </w:p>
        </w:tc>
        <w:tc>
          <w:tcPr>
            <w:tcW w:w="8336" w:type="dxa"/>
            <w:tcBorders>
              <w:bottom w:val="single" w:sz="4" w:space="0" w:color="auto"/>
            </w:tcBorders>
            <w:vAlign w:val="center"/>
          </w:tcPr>
          <w:p w:rsidR="00A86F09" w:rsidRPr="00C80F1C" w:rsidRDefault="00A86F09" w:rsidP="00A86F09">
            <w:pPr>
              <w:autoSpaceDE w:val="0"/>
              <w:autoSpaceDN w:val="0"/>
              <w:adjustRightInd w:val="0"/>
              <w:ind w:left="700" w:hanging="700"/>
              <w:jc w:val="center"/>
              <w:rPr>
                <w:rFonts w:ascii="Times New Roman" w:hAnsi="Times New Roman" w:cs="Times New Roman"/>
                <w:b/>
                <w:bCs/>
                <w:color w:val="000000"/>
                <w:sz w:val="23"/>
                <w:szCs w:val="23"/>
              </w:rPr>
            </w:pPr>
            <w:r w:rsidRPr="004168E7">
              <w:rPr>
                <w:sz w:val="36"/>
                <w:szCs w:val="36"/>
              </w:rPr>
              <w:t xml:space="preserve">Opportunités d’utiliser les applications de type </w:t>
            </w:r>
            <w:r>
              <w:rPr>
                <w:sz w:val="36"/>
                <w:szCs w:val="36"/>
              </w:rPr>
              <w:br/>
              <w:t>médias</w:t>
            </w:r>
            <w:r w:rsidRPr="004168E7">
              <w:rPr>
                <w:sz w:val="36"/>
                <w:szCs w:val="36"/>
              </w:rPr>
              <w:t xml:space="preserve"> sociaux</w:t>
            </w:r>
          </w:p>
        </w:tc>
      </w:tr>
      <w:tr w:rsidR="0087024B" w:rsidTr="00001916">
        <w:trPr>
          <w:trHeight w:val="2205"/>
        </w:trPr>
        <w:tc>
          <w:tcPr>
            <w:tcW w:w="6204" w:type="dxa"/>
            <w:tcBorders>
              <w:top w:val="single" w:sz="4" w:space="0" w:color="auto"/>
              <w:bottom w:val="single" w:sz="4" w:space="0" w:color="auto"/>
            </w:tcBorders>
            <w:vAlign w:val="center"/>
          </w:tcPr>
          <w:p w:rsidR="0087024B" w:rsidRPr="0087024B" w:rsidRDefault="0087024B" w:rsidP="00001916">
            <w:pPr>
              <w:rPr>
                <w:sz w:val="32"/>
                <w:szCs w:val="32"/>
              </w:rPr>
            </w:pPr>
            <w:r w:rsidRPr="0087024B">
              <w:rPr>
                <w:b/>
                <w:sz w:val="32"/>
                <w:szCs w:val="32"/>
              </w:rPr>
              <w:t>Procéduralisation</w:t>
            </w:r>
            <w:r>
              <w:rPr>
                <w:b/>
                <w:sz w:val="32"/>
                <w:szCs w:val="32"/>
              </w:rPr>
              <w:t xml:space="preserve"> </w:t>
            </w:r>
            <w:r w:rsidRPr="0087024B">
              <w:rPr>
                <w:sz w:val="32"/>
                <w:szCs w:val="32"/>
              </w:rPr>
              <w:t xml:space="preserve">: utilisation des acquis structurés dans des situations de plus en plus complexes afin de développer la capacité d'agir rapidement tout en demeurant efficace. Cette phase vise à rendre de plus en plus « automatique » la mise en </w:t>
            </w:r>
            <w:proofErr w:type="spellStart"/>
            <w:r w:rsidRPr="0087024B">
              <w:rPr>
                <w:sz w:val="32"/>
                <w:szCs w:val="32"/>
              </w:rPr>
              <w:t>oeuvre</w:t>
            </w:r>
            <w:proofErr w:type="spellEnd"/>
            <w:r w:rsidRPr="0087024B">
              <w:rPr>
                <w:sz w:val="32"/>
                <w:szCs w:val="32"/>
              </w:rPr>
              <w:t xml:space="preserve"> des étapes nécessaires à la résolution des problèmes.</w:t>
            </w:r>
          </w:p>
        </w:tc>
        <w:tc>
          <w:tcPr>
            <w:tcW w:w="8336" w:type="dxa"/>
            <w:tcBorders>
              <w:top w:val="single" w:sz="4" w:space="0" w:color="auto"/>
              <w:bottom w:val="single" w:sz="4" w:space="0" w:color="auto"/>
            </w:tcBorders>
          </w:tcPr>
          <w:p w:rsidR="0087024B" w:rsidRPr="0087024B" w:rsidRDefault="0087024B" w:rsidP="00001916">
            <w:pPr>
              <w:autoSpaceDE w:val="0"/>
              <w:autoSpaceDN w:val="0"/>
              <w:adjustRightInd w:val="0"/>
              <w:jc w:val="both"/>
              <w:rPr>
                <w:sz w:val="32"/>
                <w:szCs w:val="32"/>
              </w:rPr>
            </w:pPr>
          </w:p>
          <w:p w:rsidR="0087024B" w:rsidRPr="0087024B" w:rsidRDefault="0087024B" w:rsidP="00001916">
            <w:pPr>
              <w:autoSpaceDE w:val="0"/>
              <w:autoSpaceDN w:val="0"/>
              <w:adjustRightInd w:val="0"/>
              <w:jc w:val="both"/>
              <w:rPr>
                <w:sz w:val="32"/>
                <w:szCs w:val="32"/>
              </w:rPr>
            </w:pPr>
            <w:r w:rsidRPr="0087024B">
              <w:rPr>
                <w:sz w:val="32"/>
                <w:szCs w:val="32"/>
              </w:rPr>
              <w:t xml:space="preserve">À cette étape, l’apprenant peut, par lui-même, s’être abonné à des FLUX RSS sur les sites professionnels reliés à sa discipline.  Sa participation à une communauté de pratique sur l’évolution des connaissances et des expériences de son domaine d’études est souhaitée pour préparer l’engagement dans son perfectionnement continu.  Les communautés de pratique prennent plusieurs formes, notamment sur des applications qui favorisent le réseautage.   Il peut être difficile de trouver la bonne communauté.  Les subtilités de l’application sont parfois des obstacles, mais la valeur ajoutée de cette intégration de l’apprenant dans un monde de pairs aidants en vaut la peine.  </w:t>
            </w:r>
          </w:p>
          <w:p w:rsidR="0087024B" w:rsidRPr="0087024B" w:rsidRDefault="0087024B" w:rsidP="00001916">
            <w:pPr>
              <w:autoSpaceDE w:val="0"/>
              <w:autoSpaceDN w:val="0"/>
              <w:adjustRightInd w:val="0"/>
              <w:jc w:val="both"/>
              <w:rPr>
                <w:sz w:val="32"/>
                <w:szCs w:val="32"/>
              </w:rPr>
            </w:pPr>
          </w:p>
          <w:p w:rsidR="0087024B" w:rsidRPr="0087024B" w:rsidRDefault="0087024B" w:rsidP="00001916">
            <w:pPr>
              <w:autoSpaceDE w:val="0"/>
              <w:autoSpaceDN w:val="0"/>
              <w:adjustRightInd w:val="0"/>
              <w:jc w:val="both"/>
              <w:rPr>
                <w:sz w:val="32"/>
                <w:szCs w:val="32"/>
              </w:rPr>
            </w:pPr>
            <w:r w:rsidRPr="0087024B">
              <w:rPr>
                <w:sz w:val="32"/>
                <w:szCs w:val="32"/>
              </w:rPr>
              <w:t>On peut proposer des lieux virtuels de travail (FORUM, MOODLE, VIA, ADOBE, GOOGLEDOC) pour des petites équipes de façon à soutenir l’approche par projet et fournir des situations de plus en plus complexes qui les obligent à mettre leurs ressources à contribution.</w:t>
            </w:r>
          </w:p>
          <w:p w:rsidR="0087024B" w:rsidRPr="0087024B" w:rsidRDefault="0087024B" w:rsidP="00001916">
            <w:pPr>
              <w:autoSpaceDE w:val="0"/>
              <w:autoSpaceDN w:val="0"/>
              <w:adjustRightInd w:val="0"/>
              <w:jc w:val="both"/>
              <w:rPr>
                <w:sz w:val="32"/>
                <w:szCs w:val="32"/>
              </w:rPr>
            </w:pPr>
          </w:p>
        </w:tc>
      </w:tr>
    </w:tbl>
    <w:p w:rsidR="00AB2F37" w:rsidRDefault="00AB2F37"/>
    <w:sectPr w:rsidR="00AB2F37" w:rsidSect="00A86F09">
      <w:pgSz w:w="15840" w:h="12240"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86F09"/>
    <w:rsid w:val="006B5D51"/>
    <w:rsid w:val="0087024B"/>
    <w:rsid w:val="008810F1"/>
    <w:rsid w:val="00A86F09"/>
    <w:rsid w:val="00AB2F3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F0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86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1140</Characters>
  <Application>Microsoft Office Word</Application>
  <DocSecurity>0</DocSecurity>
  <Lines>9</Lines>
  <Paragraphs>2</Paragraphs>
  <ScaleCrop>false</ScaleCrop>
  <Company>Toshiba</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Claude</cp:lastModifiedBy>
  <cp:revision>2</cp:revision>
  <dcterms:created xsi:type="dcterms:W3CDTF">2011-05-10T19:50:00Z</dcterms:created>
  <dcterms:modified xsi:type="dcterms:W3CDTF">2011-05-10T19:50:00Z</dcterms:modified>
</cp:coreProperties>
</file>